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E5FAD3" w14:textId="527C03A3" w:rsidR="00E53DA6" w:rsidRDefault="00E53DA6" w:rsidP="009B65A1">
      <w:pPr>
        <w:rPr>
          <w:rFonts w:ascii="Arial" w:hAnsi="Arial"/>
          <w:b/>
          <w:sz w:val="20"/>
        </w:rPr>
      </w:pPr>
      <w:r>
        <w:rPr>
          <w:rFonts w:ascii="Arial" w:hAnsi="Arial"/>
          <w:b/>
          <w:noProof/>
          <w:sz w:val="20"/>
          <w:lang w:eastAsia="de-DE"/>
        </w:rPr>
        <w:drawing>
          <wp:inline distT="0" distB="0" distL="0" distR="0" wp14:anchorId="7236D632" wp14:editId="1E2A2938">
            <wp:extent cx="5740400" cy="2980055"/>
            <wp:effectExtent l="0" t="0" r="0" b="0"/>
            <wp:docPr id="1" name="Bild 1" descr="Macintosh HD:Users:simonkirsch:Desktop:Galerie:lila.polenaki-pittroff2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monkirsch:Desktop:Galerie:lila.polenaki-pittroff2 Kopi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0400" cy="2980055"/>
                    </a:xfrm>
                    <a:prstGeom prst="rect">
                      <a:avLst/>
                    </a:prstGeom>
                    <a:noFill/>
                    <a:ln>
                      <a:noFill/>
                    </a:ln>
                  </pic:spPr>
                </pic:pic>
              </a:graphicData>
            </a:graphic>
          </wp:inline>
        </w:drawing>
      </w:r>
    </w:p>
    <w:p w14:paraId="7AA46A30" w14:textId="68B2C2B8" w:rsidR="00E53DA6" w:rsidRPr="00E53DA6" w:rsidRDefault="00E53DA6" w:rsidP="009B65A1">
      <w:pPr>
        <w:rPr>
          <w:rFonts w:ascii="Arial" w:hAnsi="Arial"/>
          <w:sz w:val="18"/>
          <w:szCs w:val="18"/>
        </w:rPr>
      </w:pPr>
      <w:r w:rsidRPr="00E53DA6">
        <w:rPr>
          <w:rFonts w:ascii="Arial" w:hAnsi="Arial"/>
          <w:sz w:val="18"/>
          <w:szCs w:val="18"/>
        </w:rPr>
        <w:t xml:space="preserve">Lila </w:t>
      </w:r>
      <w:proofErr w:type="spellStart"/>
      <w:r w:rsidRPr="00E53DA6">
        <w:rPr>
          <w:rFonts w:ascii="Arial" w:hAnsi="Arial"/>
          <w:sz w:val="18"/>
          <w:szCs w:val="18"/>
        </w:rPr>
        <w:t>Polenaki</w:t>
      </w:r>
      <w:proofErr w:type="spellEnd"/>
      <w:r w:rsidRPr="00E53DA6">
        <w:rPr>
          <w:rFonts w:ascii="Arial" w:hAnsi="Arial"/>
          <w:sz w:val="18"/>
          <w:szCs w:val="18"/>
        </w:rPr>
        <w:t xml:space="preserve">, </w:t>
      </w:r>
      <w:proofErr w:type="spellStart"/>
      <w:r w:rsidRPr="00E53DA6">
        <w:rPr>
          <w:rFonts w:ascii="Arial" w:hAnsi="Arial"/>
          <w:sz w:val="18"/>
          <w:szCs w:val="18"/>
        </w:rPr>
        <w:t>Metaxi</w:t>
      </w:r>
      <w:proofErr w:type="spellEnd"/>
      <w:r w:rsidRPr="00E53DA6">
        <w:rPr>
          <w:rFonts w:ascii="Arial" w:hAnsi="Arial"/>
          <w:sz w:val="18"/>
          <w:szCs w:val="18"/>
        </w:rPr>
        <w:t>, 2011</w:t>
      </w:r>
      <w:r w:rsidRPr="00E53DA6">
        <w:rPr>
          <w:rFonts w:ascii="Arial" w:hAnsi="Arial"/>
          <w:sz w:val="18"/>
          <w:szCs w:val="18"/>
        </w:rPr>
        <w:tab/>
      </w:r>
      <w:r w:rsidRPr="00E53DA6">
        <w:rPr>
          <w:rFonts w:ascii="Arial" w:hAnsi="Arial"/>
          <w:sz w:val="18"/>
          <w:szCs w:val="18"/>
        </w:rPr>
        <w:tab/>
      </w:r>
      <w:r w:rsidRPr="00E53DA6">
        <w:rPr>
          <w:rFonts w:ascii="Arial" w:hAnsi="Arial"/>
          <w:sz w:val="18"/>
          <w:szCs w:val="18"/>
        </w:rPr>
        <w:tab/>
        <w:t xml:space="preserve">Susanne </w:t>
      </w:r>
      <w:proofErr w:type="spellStart"/>
      <w:r w:rsidRPr="00E53DA6">
        <w:rPr>
          <w:rFonts w:ascii="Arial" w:hAnsi="Arial"/>
          <w:sz w:val="18"/>
          <w:szCs w:val="18"/>
        </w:rPr>
        <w:t>Pittroff</w:t>
      </w:r>
      <w:proofErr w:type="spellEnd"/>
      <w:r w:rsidRPr="00E53DA6">
        <w:rPr>
          <w:rFonts w:ascii="Arial" w:hAnsi="Arial"/>
          <w:sz w:val="18"/>
          <w:szCs w:val="18"/>
        </w:rPr>
        <w:t>, Einräumen, 2014</w:t>
      </w:r>
    </w:p>
    <w:p w14:paraId="56D41D75" w14:textId="77777777" w:rsidR="00E53DA6" w:rsidRDefault="00E53DA6" w:rsidP="009B65A1">
      <w:pPr>
        <w:rPr>
          <w:rFonts w:ascii="Arial" w:hAnsi="Arial"/>
          <w:b/>
          <w:sz w:val="20"/>
        </w:rPr>
      </w:pPr>
    </w:p>
    <w:p w14:paraId="227B032C" w14:textId="77777777" w:rsidR="00E53DA6" w:rsidRDefault="00E53DA6" w:rsidP="009B65A1">
      <w:pPr>
        <w:rPr>
          <w:rFonts w:ascii="Arial" w:hAnsi="Arial"/>
          <w:b/>
          <w:sz w:val="20"/>
        </w:rPr>
      </w:pPr>
    </w:p>
    <w:p w14:paraId="442F9FC8" w14:textId="77777777" w:rsidR="00084BCD" w:rsidRPr="001E4448" w:rsidRDefault="00084BCD" w:rsidP="009B65A1">
      <w:pPr>
        <w:rPr>
          <w:rFonts w:ascii="Arial" w:hAnsi="Arial"/>
          <w:b/>
          <w:sz w:val="20"/>
        </w:rPr>
      </w:pPr>
      <w:r w:rsidRPr="001E4448">
        <w:rPr>
          <w:rFonts w:ascii="Arial" w:hAnsi="Arial"/>
          <w:b/>
          <w:sz w:val="20"/>
        </w:rPr>
        <w:t xml:space="preserve">Lila </w:t>
      </w:r>
      <w:proofErr w:type="spellStart"/>
      <w:r w:rsidRPr="001E4448">
        <w:rPr>
          <w:rFonts w:ascii="Arial" w:hAnsi="Arial"/>
          <w:b/>
          <w:sz w:val="20"/>
        </w:rPr>
        <w:t>Polenaki</w:t>
      </w:r>
      <w:proofErr w:type="spellEnd"/>
      <w:r w:rsidRPr="001E4448">
        <w:rPr>
          <w:rFonts w:ascii="Arial" w:hAnsi="Arial"/>
          <w:b/>
          <w:sz w:val="20"/>
        </w:rPr>
        <w:t xml:space="preserve"> – Susanne </w:t>
      </w:r>
      <w:proofErr w:type="spellStart"/>
      <w:r w:rsidRPr="001E4448">
        <w:rPr>
          <w:rFonts w:ascii="Arial" w:hAnsi="Arial"/>
          <w:b/>
          <w:sz w:val="20"/>
        </w:rPr>
        <w:t>Pittroff</w:t>
      </w:r>
      <w:proofErr w:type="spellEnd"/>
    </w:p>
    <w:p w14:paraId="7211A155" w14:textId="77777777" w:rsidR="00084BCD" w:rsidRDefault="0009166A" w:rsidP="009B65A1">
      <w:pPr>
        <w:rPr>
          <w:rFonts w:ascii="Arial" w:hAnsi="Arial"/>
          <w:sz w:val="20"/>
        </w:rPr>
      </w:pPr>
      <w:r>
        <w:rPr>
          <w:rFonts w:ascii="Arial" w:hAnsi="Arial"/>
          <w:sz w:val="20"/>
        </w:rPr>
        <w:t>16.</w:t>
      </w:r>
      <w:r w:rsidR="00084BCD">
        <w:rPr>
          <w:rFonts w:ascii="Arial" w:hAnsi="Arial"/>
          <w:sz w:val="20"/>
        </w:rPr>
        <w:t xml:space="preserve">07.2015 </w:t>
      </w:r>
      <w:r>
        <w:rPr>
          <w:rFonts w:ascii="Arial" w:hAnsi="Arial"/>
          <w:sz w:val="20"/>
        </w:rPr>
        <w:t>– 31.07</w:t>
      </w:r>
      <w:r w:rsidR="00084BCD">
        <w:rPr>
          <w:rFonts w:ascii="Arial" w:hAnsi="Arial"/>
          <w:sz w:val="20"/>
        </w:rPr>
        <w:t>.2015</w:t>
      </w:r>
    </w:p>
    <w:p w14:paraId="29672660" w14:textId="77777777" w:rsidR="00084BCD" w:rsidRDefault="00084BCD" w:rsidP="009B65A1">
      <w:pPr>
        <w:rPr>
          <w:rFonts w:ascii="Arial" w:hAnsi="Arial"/>
          <w:sz w:val="20"/>
        </w:rPr>
      </w:pPr>
    </w:p>
    <w:p w14:paraId="75380B4F" w14:textId="77777777" w:rsidR="0000035F" w:rsidRDefault="0000035F" w:rsidP="009B65A1">
      <w:pPr>
        <w:rPr>
          <w:rFonts w:ascii="Arial" w:hAnsi="Arial"/>
          <w:sz w:val="20"/>
        </w:rPr>
      </w:pPr>
      <w:r>
        <w:rPr>
          <w:rFonts w:ascii="Arial" w:hAnsi="Arial"/>
          <w:sz w:val="20"/>
        </w:rPr>
        <w:t xml:space="preserve">Francoise Heitsch zeigt in ihrer neuen Ausstellung die Künstlerinnen Lila </w:t>
      </w:r>
      <w:proofErr w:type="spellStart"/>
      <w:r>
        <w:rPr>
          <w:rFonts w:ascii="Arial" w:hAnsi="Arial"/>
          <w:sz w:val="20"/>
        </w:rPr>
        <w:t>Polenaki</w:t>
      </w:r>
      <w:proofErr w:type="spellEnd"/>
      <w:r>
        <w:rPr>
          <w:rFonts w:ascii="Arial" w:hAnsi="Arial"/>
          <w:sz w:val="20"/>
        </w:rPr>
        <w:t xml:space="preserve"> und Susanne </w:t>
      </w:r>
      <w:proofErr w:type="spellStart"/>
      <w:r>
        <w:rPr>
          <w:rFonts w:ascii="Arial" w:hAnsi="Arial"/>
          <w:sz w:val="20"/>
        </w:rPr>
        <w:t>Pittroff</w:t>
      </w:r>
      <w:proofErr w:type="spellEnd"/>
      <w:r>
        <w:rPr>
          <w:rFonts w:ascii="Arial" w:hAnsi="Arial"/>
          <w:sz w:val="20"/>
        </w:rPr>
        <w:t>. So unterschiedlich die Arbeiten der Künstlerinnen auf den ersten Blick auch sein mögen, eint sie doch ihre Affinität zur Objekthaftigkeit</w:t>
      </w:r>
      <w:r w:rsidR="00DF4B06">
        <w:rPr>
          <w:rFonts w:ascii="Arial" w:hAnsi="Arial"/>
          <w:sz w:val="20"/>
        </w:rPr>
        <w:t xml:space="preserve"> und zur Form</w:t>
      </w:r>
      <w:r>
        <w:rPr>
          <w:rFonts w:ascii="Arial" w:hAnsi="Arial"/>
          <w:sz w:val="20"/>
        </w:rPr>
        <w:t>.</w:t>
      </w:r>
    </w:p>
    <w:p w14:paraId="0216DF1F" w14:textId="77777777" w:rsidR="0000035F" w:rsidRDefault="0000035F" w:rsidP="009B65A1">
      <w:pPr>
        <w:rPr>
          <w:rFonts w:ascii="Arial" w:hAnsi="Arial"/>
          <w:sz w:val="20"/>
        </w:rPr>
      </w:pPr>
    </w:p>
    <w:p w14:paraId="427A60D5" w14:textId="77777777" w:rsidR="0000035F" w:rsidRDefault="0000035F" w:rsidP="009B65A1">
      <w:pPr>
        <w:rPr>
          <w:rFonts w:ascii="Arial" w:hAnsi="Arial"/>
          <w:sz w:val="20"/>
        </w:rPr>
      </w:pPr>
      <w:r>
        <w:rPr>
          <w:rFonts w:ascii="Arial" w:hAnsi="Arial"/>
          <w:sz w:val="20"/>
        </w:rPr>
        <w:t xml:space="preserve">Die Athenerin Lila </w:t>
      </w:r>
      <w:proofErr w:type="spellStart"/>
      <w:r>
        <w:rPr>
          <w:rFonts w:ascii="Arial" w:hAnsi="Arial"/>
          <w:sz w:val="20"/>
        </w:rPr>
        <w:t>Polenaki</w:t>
      </w:r>
      <w:proofErr w:type="spellEnd"/>
      <w:r>
        <w:rPr>
          <w:rFonts w:ascii="Arial" w:hAnsi="Arial"/>
          <w:sz w:val="20"/>
        </w:rPr>
        <w:t xml:space="preserve"> ist mit </w:t>
      </w:r>
      <w:r w:rsidR="00DF4B06">
        <w:rPr>
          <w:rFonts w:ascii="Arial" w:hAnsi="Arial"/>
          <w:sz w:val="20"/>
        </w:rPr>
        <w:t>mehreren</w:t>
      </w:r>
      <w:r>
        <w:rPr>
          <w:rFonts w:ascii="Arial" w:hAnsi="Arial"/>
          <w:sz w:val="20"/>
        </w:rPr>
        <w:t xml:space="preserve"> kleinen Arbeiten vertreten. Trotz der geringen Größe ziehen die Arbeiten den Betrachter in ihren Bann. Sie wirken wie bunte Blumensträuße</w:t>
      </w:r>
      <w:r w:rsidR="00DF4B06">
        <w:rPr>
          <w:rFonts w:ascii="Arial" w:hAnsi="Arial"/>
          <w:sz w:val="20"/>
        </w:rPr>
        <w:t xml:space="preserve">, die </w:t>
      </w:r>
      <w:proofErr w:type="gramStart"/>
      <w:r w:rsidR="00DF4B06">
        <w:rPr>
          <w:rFonts w:ascii="Arial" w:hAnsi="Arial"/>
          <w:sz w:val="20"/>
        </w:rPr>
        <w:t xml:space="preserve">etwas </w:t>
      </w:r>
      <w:proofErr w:type="spellStart"/>
      <w:r w:rsidR="00DF4B06">
        <w:rPr>
          <w:rFonts w:ascii="Arial" w:hAnsi="Arial"/>
          <w:sz w:val="20"/>
        </w:rPr>
        <w:t>objekthaftes</w:t>
      </w:r>
      <w:proofErr w:type="spellEnd"/>
      <w:proofErr w:type="gramEnd"/>
      <w:r w:rsidR="00DF4B06">
        <w:rPr>
          <w:rFonts w:ascii="Arial" w:hAnsi="Arial"/>
          <w:sz w:val="20"/>
        </w:rPr>
        <w:t xml:space="preserve"> haben. Der Eindruck wird durch die eigenwillig bearbeiteten Fragmente von Bildern, Ausschnitte aus Büchern und auch Stoffen verstärkt. Die Arbeiten entsprangen direkt aus dem Kosmos der Künstlerin und dieser Vorgang hat ihnen eine sagenhafte Vitalität verliehen. Ja, wir stehen wie vor einer Geburtstagstorte, wir sind überwältigt wie nach einem orientalischen Märchen. Wir freuen uns an manchen Stellen erkennen zu können, wie sie vorgegangen ist und was sie verwendet hat. Doch das schmälert das Ergebnis nicht, im Gegenteil</w:t>
      </w:r>
      <w:proofErr w:type="gramStart"/>
      <w:r w:rsidR="00DF4B06">
        <w:rPr>
          <w:rFonts w:ascii="Arial" w:hAnsi="Arial"/>
          <w:sz w:val="20"/>
        </w:rPr>
        <w:t xml:space="preserve">, </w:t>
      </w:r>
      <w:r w:rsidR="00084BCD">
        <w:rPr>
          <w:rFonts w:ascii="Arial" w:hAnsi="Arial"/>
          <w:sz w:val="20"/>
        </w:rPr>
        <w:t>wir</w:t>
      </w:r>
      <w:proofErr w:type="gramEnd"/>
      <w:r w:rsidR="00084BCD">
        <w:rPr>
          <w:rFonts w:ascii="Arial" w:hAnsi="Arial"/>
          <w:sz w:val="20"/>
        </w:rPr>
        <w:t xml:space="preserve"> bauen eine Beziehung zu ihren Bildern auf</w:t>
      </w:r>
      <w:r w:rsidR="00DF4B06">
        <w:rPr>
          <w:rFonts w:ascii="Arial" w:hAnsi="Arial"/>
          <w:sz w:val="20"/>
        </w:rPr>
        <w:t>,</w:t>
      </w:r>
      <w:r w:rsidR="00084BCD">
        <w:rPr>
          <w:rFonts w:ascii="Arial" w:hAnsi="Arial"/>
          <w:sz w:val="20"/>
        </w:rPr>
        <w:t xml:space="preserve"> denn</w:t>
      </w:r>
      <w:r w:rsidR="00DF4B06">
        <w:rPr>
          <w:rFonts w:ascii="Arial" w:hAnsi="Arial"/>
          <w:sz w:val="20"/>
        </w:rPr>
        <w:t xml:space="preserve"> sie erinnern uns an Vergangenes. Man will </w:t>
      </w:r>
      <w:r w:rsidR="00084BCD">
        <w:rPr>
          <w:rFonts w:ascii="Arial" w:hAnsi="Arial"/>
          <w:sz w:val="20"/>
        </w:rPr>
        <w:t xml:space="preserve">Lila </w:t>
      </w:r>
      <w:proofErr w:type="spellStart"/>
      <w:r w:rsidR="00084BCD">
        <w:rPr>
          <w:rFonts w:ascii="Arial" w:hAnsi="Arial"/>
          <w:sz w:val="20"/>
        </w:rPr>
        <w:t>Polenaki</w:t>
      </w:r>
      <w:proofErr w:type="spellEnd"/>
      <w:r w:rsidR="00DF4B06">
        <w:rPr>
          <w:rFonts w:ascii="Arial" w:hAnsi="Arial"/>
          <w:sz w:val="20"/>
        </w:rPr>
        <w:t xml:space="preserve"> dafür danken, dass sie festgehalten hat was wir vernachlässigt hatten, ja sogar vergessen hatten. </w:t>
      </w:r>
    </w:p>
    <w:p w14:paraId="6BE1AA8A" w14:textId="77777777" w:rsidR="00084BCD" w:rsidRDefault="00084BCD" w:rsidP="009B65A1">
      <w:pPr>
        <w:rPr>
          <w:rFonts w:ascii="Arial" w:hAnsi="Arial"/>
          <w:sz w:val="20"/>
        </w:rPr>
      </w:pPr>
    </w:p>
    <w:p w14:paraId="4B5854D6" w14:textId="77777777" w:rsidR="00084BCD" w:rsidRDefault="00084BCD" w:rsidP="009B65A1">
      <w:pPr>
        <w:rPr>
          <w:rFonts w:ascii="Arial" w:hAnsi="Arial"/>
          <w:sz w:val="20"/>
        </w:rPr>
      </w:pPr>
      <w:r>
        <w:rPr>
          <w:rFonts w:ascii="Arial" w:hAnsi="Arial"/>
          <w:sz w:val="20"/>
        </w:rPr>
        <w:t xml:space="preserve">Die Formen, die bei </w:t>
      </w:r>
      <w:proofErr w:type="spellStart"/>
      <w:r>
        <w:rPr>
          <w:rFonts w:ascii="Arial" w:hAnsi="Arial"/>
          <w:sz w:val="20"/>
        </w:rPr>
        <w:t>Polenaki</w:t>
      </w:r>
      <w:proofErr w:type="spellEnd"/>
      <w:r>
        <w:rPr>
          <w:rFonts w:ascii="Arial" w:hAnsi="Arial"/>
          <w:sz w:val="20"/>
        </w:rPr>
        <w:t xml:space="preserve"> im Bild festgehalten sind</w:t>
      </w:r>
      <w:proofErr w:type="gramStart"/>
      <w:r>
        <w:rPr>
          <w:rFonts w:ascii="Arial" w:hAnsi="Arial"/>
          <w:sz w:val="20"/>
        </w:rPr>
        <w:t>, werden</w:t>
      </w:r>
      <w:proofErr w:type="gramEnd"/>
      <w:r>
        <w:rPr>
          <w:rFonts w:ascii="Arial" w:hAnsi="Arial"/>
          <w:sz w:val="20"/>
        </w:rPr>
        <w:t xml:space="preserve"> bei Susanne </w:t>
      </w:r>
      <w:proofErr w:type="spellStart"/>
      <w:r>
        <w:rPr>
          <w:rFonts w:ascii="Arial" w:hAnsi="Arial"/>
          <w:sz w:val="20"/>
        </w:rPr>
        <w:t>Pittroff</w:t>
      </w:r>
      <w:proofErr w:type="spellEnd"/>
      <w:r>
        <w:rPr>
          <w:rFonts w:ascii="Arial" w:hAnsi="Arial"/>
          <w:sz w:val="20"/>
        </w:rPr>
        <w:t xml:space="preserve"> zu dreidimensionalen Objekten, die in eine Konversation mit der sie umgebenden Architektur treten.</w:t>
      </w:r>
    </w:p>
    <w:p w14:paraId="16BB7461" w14:textId="77777777" w:rsidR="0000035F" w:rsidRDefault="0000035F" w:rsidP="009B65A1">
      <w:pPr>
        <w:rPr>
          <w:rFonts w:ascii="Arial" w:hAnsi="Arial"/>
          <w:sz w:val="20"/>
        </w:rPr>
      </w:pPr>
    </w:p>
    <w:p w14:paraId="306C7086" w14:textId="77777777" w:rsidR="009B65A1" w:rsidRPr="00DF4B06" w:rsidRDefault="009B65A1" w:rsidP="009B65A1">
      <w:pPr>
        <w:rPr>
          <w:rFonts w:ascii="Arial" w:hAnsi="Arial"/>
          <w:i/>
          <w:sz w:val="20"/>
        </w:rPr>
      </w:pPr>
      <w:r w:rsidRPr="00DF4B06">
        <w:rPr>
          <w:rFonts w:ascii="Arial" w:hAnsi="Arial"/>
          <w:i/>
          <w:sz w:val="20"/>
        </w:rPr>
        <w:t>Semper schrieb der Umhüllung in der Architektur eine besondere Bedeutung zu. Er sah den Ursprung der Architektur im Textilen</w:t>
      </w:r>
      <w:proofErr w:type="gramStart"/>
      <w:r w:rsidRPr="00DF4B06">
        <w:rPr>
          <w:rFonts w:ascii="Arial" w:hAnsi="Arial"/>
          <w:i/>
          <w:sz w:val="20"/>
        </w:rPr>
        <w:t>, in</w:t>
      </w:r>
      <w:proofErr w:type="gramEnd"/>
      <w:r w:rsidRPr="00DF4B06">
        <w:rPr>
          <w:rFonts w:ascii="Arial" w:hAnsi="Arial"/>
          <w:i/>
          <w:sz w:val="20"/>
        </w:rPr>
        <w:t xml:space="preserve"> der Zeltarchitektur der Nomaden. (…) Der Mensch kam auf die Idee, ein System von Stoffeinheiten, deren charakteristische Eigenschaften in der Biegsamkeit, Geschmeidigkeit und Zähigkeit bestehen, zusammenzufügen aus folgenden Gründen: erstens um zu reihen und zu binden; zweitens um zu decken, zu schützen, </w:t>
      </w:r>
      <w:r w:rsidR="00B53790" w:rsidRPr="00DF4B06">
        <w:rPr>
          <w:rFonts w:ascii="Arial" w:hAnsi="Arial"/>
          <w:i/>
          <w:sz w:val="20"/>
        </w:rPr>
        <w:t>abzuschließen</w:t>
      </w:r>
      <w:r w:rsidRPr="00DF4B06">
        <w:rPr>
          <w:rFonts w:ascii="Arial" w:hAnsi="Arial"/>
          <w:i/>
          <w:sz w:val="20"/>
        </w:rPr>
        <w:t>.“*</w:t>
      </w:r>
    </w:p>
    <w:p w14:paraId="4B25A2DD" w14:textId="77777777" w:rsidR="009B65A1" w:rsidRPr="000E39F6" w:rsidRDefault="009B65A1" w:rsidP="009B65A1">
      <w:pPr>
        <w:rPr>
          <w:rFonts w:ascii="Arial" w:hAnsi="Arial"/>
          <w:sz w:val="20"/>
        </w:rPr>
      </w:pPr>
    </w:p>
    <w:p w14:paraId="7DE5DE7C" w14:textId="77777777" w:rsidR="009B65A1" w:rsidRPr="000E39F6" w:rsidRDefault="00DF4B06" w:rsidP="009B65A1">
      <w:pPr>
        <w:rPr>
          <w:rFonts w:ascii="Arial" w:hAnsi="Arial"/>
          <w:sz w:val="20"/>
        </w:rPr>
      </w:pPr>
      <w:r>
        <w:rPr>
          <w:rFonts w:ascii="Arial" w:hAnsi="Arial"/>
          <w:sz w:val="20"/>
        </w:rPr>
        <w:t>Susanne</w:t>
      </w:r>
      <w:r w:rsidR="009B65A1" w:rsidRPr="000E39F6">
        <w:rPr>
          <w:rFonts w:ascii="Arial" w:hAnsi="Arial"/>
          <w:sz w:val="20"/>
        </w:rPr>
        <w:t xml:space="preserve"> Pittroff knüpft an diesen Gedanken an und zeigt in der Galerie stark farbig kontrastierende</w:t>
      </w:r>
      <w:r>
        <w:rPr>
          <w:rFonts w:ascii="Arial" w:hAnsi="Arial"/>
          <w:sz w:val="20"/>
        </w:rPr>
        <w:t>,</w:t>
      </w:r>
      <w:r w:rsidR="009B65A1" w:rsidRPr="000E39F6">
        <w:rPr>
          <w:rFonts w:ascii="Arial" w:hAnsi="Arial"/>
          <w:sz w:val="20"/>
        </w:rPr>
        <w:t xml:space="preserve"> textile Objekte</w:t>
      </w:r>
      <w:r w:rsidR="00C337B8" w:rsidRPr="000E39F6">
        <w:rPr>
          <w:rFonts w:ascii="Arial" w:hAnsi="Arial"/>
          <w:sz w:val="20"/>
        </w:rPr>
        <w:t>.</w:t>
      </w:r>
      <w:r w:rsidR="009B65A1" w:rsidRPr="000E39F6">
        <w:rPr>
          <w:rFonts w:ascii="Arial" w:hAnsi="Arial"/>
          <w:sz w:val="20"/>
        </w:rPr>
        <w:t xml:space="preserve"> </w:t>
      </w:r>
      <w:r w:rsidR="008B05E3">
        <w:rPr>
          <w:rFonts w:ascii="Arial" w:hAnsi="Arial"/>
          <w:sz w:val="20"/>
        </w:rPr>
        <w:t>Die kreisrunden Objekte</w:t>
      </w:r>
      <w:r w:rsidR="009B65A1" w:rsidRPr="000E39F6">
        <w:rPr>
          <w:rFonts w:ascii="Arial" w:hAnsi="Arial"/>
          <w:sz w:val="20"/>
        </w:rPr>
        <w:t xml:space="preserve"> </w:t>
      </w:r>
      <w:r w:rsidR="008B05E3">
        <w:rPr>
          <w:rFonts w:ascii="Arial" w:hAnsi="Arial"/>
          <w:sz w:val="20"/>
        </w:rPr>
        <w:t>wirken wie</w:t>
      </w:r>
      <w:r w:rsidR="009B65A1" w:rsidRPr="000E39F6">
        <w:rPr>
          <w:rFonts w:ascii="Arial" w:hAnsi="Arial"/>
          <w:sz w:val="20"/>
        </w:rPr>
        <w:t xml:space="preserve"> farbige Rauminseln und verweisen in ihrer Gestalt auf ephemere Räume, die sich mit Themen wie Verfügbarkeit, Einfriedung und Ausgrenzung auseinandersetzten. </w:t>
      </w:r>
      <w:proofErr w:type="spellStart"/>
      <w:r w:rsidR="00B53790">
        <w:rPr>
          <w:rFonts w:ascii="Arial" w:hAnsi="Arial"/>
          <w:sz w:val="20"/>
        </w:rPr>
        <w:t>Pittroff</w:t>
      </w:r>
      <w:proofErr w:type="spellEnd"/>
      <w:r>
        <w:rPr>
          <w:rFonts w:ascii="Arial" w:hAnsi="Arial"/>
          <w:sz w:val="20"/>
        </w:rPr>
        <w:t xml:space="preserve"> setzt minimalistische</w:t>
      </w:r>
      <w:r w:rsidR="0045674C">
        <w:rPr>
          <w:rFonts w:ascii="Arial" w:hAnsi="Arial"/>
          <w:sz w:val="20"/>
        </w:rPr>
        <w:t xml:space="preserve"> Mittel ein</w:t>
      </w:r>
      <w:r w:rsidR="00B53790">
        <w:rPr>
          <w:rFonts w:ascii="Arial" w:hAnsi="Arial"/>
          <w:sz w:val="20"/>
        </w:rPr>
        <w:t>,</w:t>
      </w:r>
      <w:r w:rsidR="0045674C">
        <w:rPr>
          <w:rFonts w:ascii="Arial" w:hAnsi="Arial"/>
          <w:sz w:val="20"/>
        </w:rPr>
        <w:t xml:space="preserve"> um alltägliche </w:t>
      </w:r>
      <w:r w:rsidR="0045674C" w:rsidRPr="00DF4B06">
        <w:rPr>
          <w:rFonts w:ascii="Arial" w:hAnsi="Arial"/>
          <w:sz w:val="20"/>
        </w:rPr>
        <w:t>Ordnungs- und Ortungsanweisungen</w:t>
      </w:r>
      <w:r w:rsidR="0045674C">
        <w:rPr>
          <w:rFonts w:ascii="Arial" w:hAnsi="Arial"/>
          <w:sz w:val="20"/>
        </w:rPr>
        <w:t xml:space="preserve"> zu reflektieren. </w:t>
      </w:r>
    </w:p>
    <w:p w14:paraId="769531F4" w14:textId="77777777" w:rsidR="00DF4B06" w:rsidRPr="00DF4B06" w:rsidRDefault="009B65A1" w:rsidP="009B65A1">
      <w:pPr>
        <w:rPr>
          <w:rFonts w:ascii="Arial" w:hAnsi="Arial"/>
          <w:sz w:val="20"/>
        </w:rPr>
      </w:pPr>
      <w:r w:rsidRPr="00DF4B06">
        <w:rPr>
          <w:rFonts w:ascii="Arial" w:hAnsi="Arial"/>
          <w:sz w:val="20"/>
        </w:rPr>
        <w:t xml:space="preserve">Zeichenhaftigkeit und Materialien </w:t>
      </w:r>
      <w:r w:rsidR="00444D25" w:rsidRPr="00DF4B06">
        <w:rPr>
          <w:rFonts w:ascii="Arial" w:hAnsi="Arial"/>
          <w:sz w:val="20"/>
        </w:rPr>
        <w:t xml:space="preserve">dieser Arbeiten </w:t>
      </w:r>
      <w:r w:rsidR="00B04590" w:rsidRPr="00DF4B06">
        <w:rPr>
          <w:rFonts w:ascii="Arial" w:hAnsi="Arial"/>
          <w:sz w:val="20"/>
        </w:rPr>
        <w:t>er</w:t>
      </w:r>
      <w:r w:rsidR="00444D25" w:rsidRPr="00DF4B06">
        <w:rPr>
          <w:rFonts w:ascii="Arial" w:hAnsi="Arial"/>
          <w:sz w:val="20"/>
        </w:rPr>
        <w:t>öffnen</w:t>
      </w:r>
      <w:r w:rsidRPr="00DF4B06">
        <w:rPr>
          <w:rFonts w:ascii="Arial" w:hAnsi="Arial"/>
          <w:sz w:val="20"/>
        </w:rPr>
        <w:t xml:space="preserve"> </w:t>
      </w:r>
      <w:r w:rsidR="00B04590" w:rsidRPr="00DF4B06">
        <w:rPr>
          <w:rFonts w:ascii="Arial" w:hAnsi="Arial"/>
          <w:sz w:val="20"/>
        </w:rPr>
        <w:t xml:space="preserve">immer wieder </w:t>
      </w:r>
      <w:r w:rsidR="008B05E3" w:rsidRPr="00DF4B06">
        <w:rPr>
          <w:rFonts w:ascii="Arial" w:hAnsi="Arial"/>
          <w:sz w:val="20"/>
        </w:rPr>
        <w:t>mehrere Bedeutungsebenen</w:t>
      </w:r>
      <w:r w:rsidRPr="00DF4B06">
        <w:rPr>
          <w:rFonts w:ascii="Arial" w:hAnsi="Arial"/>
          <w:sz w:val="20"/>
        </w:rPr>
        <w:t xml:space="preserve">, </w:t>
      </w:r>
      <w:r w:rsidR="008B05E3" w:rsidRPr="00DF4B06">
        <w:rPr>
          <w:rFonts w:ascii="Arial" w:hAnsi="Arial"/>
          <w:sz w:val="20"/>
        </w:rPr>
        <w:t>sei es im</w:t>
      </w:r>
      <w:r w:rsidRPr="00DF4B06">
        <w:rPr>
          <w:rFonts w:ascii="Arial" w:hAnsi="Arial"/>
          <w:sz w:val="20"/>
        </w:rPr>
        <w:t xml:space="preserve"> gesellschaftlichen </w:t>
      </w:r>
      <w:r w:rsidR="008B05E3" w:rsidRPr="00DF4B06">
        <w:rPr>
          <w:rFonts w:ascii="Arial" w:hAnsi="Arial"/>
          <w:sz w:val="20"/>
        </w:rPr>
        <w:t xml:space="preserve">wie im </w:t>
      </w:r>
      <w:r w:rsidRPr="00DF4B06">
        <w:rPr>
          <w:rFonts w:ascii="Arial" w:hAnsi="Arial"/>
          <w:sz w:val="20"/>
        </w:rPr>
        <w:t>politischen Kontext.</w:t>
      </w:r>
    </w:p>
    <w:p w14:paraId="54AA6808" w14:textId="77777777" w:rsidR="00DF4B06" w:rsidRPr="00DF4B06" w:rsidRDefault="00DF4B06" w:rsidP="009B65A1">
      <w:pPr>
        <w:rPr>
          <w:rFonts w:ascii="Arial" w:hAnsi="Arial"/>
          <w:sz w:val="20"/>
        </w:rPr>
      </w:pPr>
    </w:p>
    <w:p w14:paraId="68D3A6CF" w14:textId="77777777" w:rsidR="00E53DA6" w:rsidRDefault="00E53DA6">
      <w:pPr>
        <w:rPr>
          <w:rFonts w:ascii="Arial" w:hAnsi="Arial"/>
          <w:sz w:val="20"/>
        </w:rPr>
      </w:pPr>
      <w:r>
        <w:rPr>
          <w:rFonts w:ascii="Arial" w:hAnsi="Arial"/>
          <w:sz w:val="20"/>
        </w:rPr>
        <w:br w:type="page"/>
      </w:r>
    </w:p>
    <w:p w14:paraId="2865E7A1" w14:textId="2CE503E8" w:rsidR="00DF4B06" w:rsidRDefault="00DF4B06" w:rsidP="00DF4B06">
      <w:pPr>
        <w:rPr>
          <w:rFonts w:ascii="Arial" w:hAnsi="Arial"/>
          <w:sz w:val="20"/>
        </w:rPr>
      </w:pPr>
      <w:bookmarkStart w:id="0" w:name="_GoBack"/>
      <w:bookmarkEnd w:id="0"/>
      <w:r>
        <w:rPr>
          <w:rFonts w:ascii="Arial" w:hAnsi="Arial"/>
          <w:sz w:val="20"/>
        </w:rPr>
        <w:lastRenderedPageBreak/>
        <w:t xml:space="preserve">Stoffe und Muster setzen sich bei </w:t>
      </w:r>
      <w:proofErr w:type="spellStart"/>
      <w:r>
        <w:rPr>
          <w:rFonts w:ascii="Arial" w:hAnsi="Arial"/>
          <w:sz w:val="20"/>
        </w:rPr>
        <w:t>Polenaki</w:t>
      </w:r>
      <w:proofErr w:type="spellEnd"/>
      <w:r>
        <w:rPr>
          <w:rFonts w:ascii="Arial" w:hAnsi="Arial"/>
          <w:sz w:val="20"/>
        </w:rPr>
        <w:t xml:space="preserve"> durch. Bei Susanne </w:t>
      </w:r>
      <w:proofErr w:type="spellStart"/>
      <w:r>
        <w:rPr>
          <w:rFonts w:ascii="Arial" w:hAnsi="Arial"/>
          <w:sz w:val="20"/>
        </w:rPr>
        <w:t>Pittroff</w:t>
      </w:r>
      <w:proofErr w:type="spellEnd"/>
      <w:r>
        <w:rPr>
          <w:rFonts w:ascii="Arial" w:hAnsi="Arial"/>
          <w:sz w:val="20"/>
        </w:rPr>
        <w:t xml:space="preserve"> ist die Form </w:t>
      </w:r>
      <w:r w:rsidR="00C12BB7">
        <w:rPr>
          <w:rFonts w:ascii="Arial" w:hAnsi="Arial"/>
          <w:sz w:val="20"/>
        </w:rPr>
        <w:t xml:space="preserve">und die Farbe </w:t>
      </w:r>
      <w:r>
        <w:rPr>
          <w:rFonts w:ascii="Arial" w:hAnsi="Arial"/>
          <w:sz w:val="20"/>
        </w:rPr>
        <w:t xml:space="preserve">das Wesentliche und wie sie den Raum verändert und unsere Wahrnehmung des Raumes. Es sind zwei verschiedene Welten, die sich gegenseitig stärken. Auf der einen Seite die erhabene, durchdachte, mit der Architektur im Zwiegespräch stehende Welt der Münchnerin Susanne </w:t>
      </w:r>
      <w:proofErr w:type="spellStart"/>
      <w:r>
        <w:rPr>
          <w:rFonts w:ascii="Arial" w:hAnsi="Arial"/>
          <w:sz w:val="20"/>
        </w:rPr>
        <w:t>Pittroff</w:t>
      </w:r>
      <w:proofErr w:type="spellEnd"/>
      <w:r>
        <w:rPr>
          <w:rFonts w:ascii="Arial" w:hAnsi="Arial"/>
          <w:sz w:val="20"/>
        </w:rPr>
        <w:t xml:space="preserve"> und daneben die verspielte aus dem Alltag entnommene und augenzwinkernde Welt der Athenerin Lila </w:t>
      </w:r>
      <w:proofErr w:type="spellStart"/>
      <w:r>
        <w:rPr>
          <w:rFonts w:ascii="Arial" w:hAnsi="Arial"/>
          <w:sz w:val="20"/>
        </w:rPr>
        <w:t>Polenaki</w:t>
      </w:r>
      <w:proofErr w:type="spellEnd"/>
      <w:r>
        <w:rPr>
          <w:rFonts w:ascii="Arial" w:hAnsi="Arial"/>
          <w:sz w:val="20"/>
        </w:rPr>
        <w:t>.</w:t>
      </w:r>
    </w:p>
    <w:p w14:paraId="6873D477" w14:textId="77777777" w:rsidR="009B65A1" w:rsidRPr="00DF4B06" w:rsidRDefault="009B65A1" w:rsidP="009B65A1">
      <w:pPr>
        <w:rPr>
          <w:rFonts w:ascii="Arial" w:hAnsi="Arial"/>
          <w:sz w:val="20"/>
        </w:rPr>
      </w:pPr>
      <w:r w:rsidRPr="00DF4B06">
        <w:rPr>
          <w:rFonts w:ascii="Arial" w:hAnsi="Arial"/>
          <w:sz w:val="20"/>
        </w:rPr>
        <w:t xml:space="preserve"> </w:t>
      </w:r>
    </w:p>
    <w:p w14:paraId="3EAAD649" w14:textId="77777777" w:rsidR="009B65A1" w:rsidRPr="000E39F6" w:rsidRDefault="009B65A1" w:rsidP="009B65A1">
      <w:pPr>
        <w:rPr>
          <w:rFonts w:ascii="Arial" w:hAnsi="Arial"/>
          <w:sz w:val="20"/>
        </w:rPr>
      </w:pPr>
    </w:p>
    <w:p w14:paraId="3AEB8E6E" w14:textId="77777777" w:rsidR="00B032AD" w:rsidRPr="00DF4B06" w:rsidRDefault="00C337B8" w:rsidP="00C337B8">
      <w:pPr>
        <w:rPr>
          <w:rFonts w:ascii="Arial" w:hAnsi="Arial"/>
          <w:sz w:val="20"/>
        </w:rPr>
      </w:pPr>
      <w:r w:rsidRPr="00DF4B06">
        <w:rPr>
          <w:rFonts w:ascii="Arial" w:hAnsi="Arial"/>
          <w:sz w:val="20"/>
        </w:rPr>
        <w:t>* aus: Semper, Gottfried: Der Stil in den technischen und tektonischen Künsten. Dr</w:t>
      </w:r>
      <w:r w:rsidR="00DF4B06">
        <w:rPr>
          <w:rFonts w:ascii="Arial" w:hAnsi="Arial"/>
          <w:sz w:val="20"/>
        </w:rPr>
        <w:t>ittes Hauptstück. Textile Kunst.</w:t>
      </w:r>
      <w:r w:rsidRPr="00DF4B06">
        <w:rPr>
          <w:rFonts w:ascii="Arial" w:hAnsi="Arial"/>
          <w:sz w:val="20"/>
        </w:rPr>
        <w:t xml:space="preserve"> München 1860</w:t>
      </w:r>
      <w:r w:rsidR="00DF4B06">
        <w:rPr>
          <w:rFonts w:ascii="Arial" w:hAnsi="Arial"/>
          <w:sz w:val="20"/>
        </w:rPr>
        <w:t>.</w:t>
      </w:r>
      <w:r w:rsidRPr="00DF4B06">
        <w:rPr>
          <w:rFonts w:ascii="Arial" w:hAnsi="Arial"/>
          <w:sz w:val="20"/>
        </w:rPr>
        <w:t> </w:t>
      </w:r>
    </w:p>
    <w:p w14:paraId="79C3D89D" w14:textId="77777777" w:rsidR="00B032AD" w:rsidRDefault="00B032AD" w:rsidP="00C337B8">
      <w:pPr>
        <w:rPr>
          <w:rFonts w:ascii="Arial" w:eastAsiaTheme="minorHAnsi" w:hAnsi="Arial" w:cs="Arial"/>
          <w:color w:val="515151"/>
          <w:lang w:eastAsia="en-US"/>
        </w:rPr>
      </w:pPr>
    </w:p>
    <w:p w14:paraId="695A0A40" w14:textId="77777777" w:rsidR="009B65A1" w:rsidRDefault="009B65A1"/>
    <w:sectPr w:rsidR="009B65A1" w:rsidSect="009B65A1">
      <w:headerReference w:type="default" r:id="rId8"/>
      <w:footerReference w:type="default" r:id="rId9"/>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C9299F" w14:textId="77777777" w:rsidR="00E53DA6" w:rsidRDefault="00E53DA6" w:rsidP="00E53DA6">
      <w:r>
        <w:separator/>
      </w:r>
    </w:p>
  </w:endnote>
  <w:endnote w:type="continuationSeparator" w:id="0">
    <w:p w14:paraId="0D86C27A" w14:textId="77777777" w:rsidR="00E53DA6" w:rsidRDefault="00E53DA6" w:rsidP="00E53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C8745" w14:textId="61FE6377" w:rsidR="00E53DA6" w:rsidRDefault="00E53DA6" w:rsidP="00E53DA6">
    <w:pPr>
      <w:pStyle w:val="StandardWeb"/>
      <w:jc w:val="center"/>
    </w:pPr>
    <w:r>
      <w:rPr>
        <w:rFonts w:ascii="Tahoma" w:hAnsi="Tahoma" w:cs="Tahoma"/>
        <w:sz w:val="18"/>
        <w:szCs w:val="18"/>
      </w:rPr>
      <w:t>tel. +49 89 481200 • fax +49 89 481201 • fheitsch@francoiseheitsch.de • www.francoiseheitsch.de</w:t>
    </w:r>
  </w:p>
  <w:p w14:paraId="777A4010" w14:textId="77777777" w:rsidR="00E53DA6" w:rsidRDefault="00E53DA6">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FE3ADD" w14:textId="77777777" w:rsidR="00E53DA6" w:rsidRDefault="00E53DA6" w:rsidP="00E53DA6">
      <w:r>
        <w:separator/>
      </w:r>
    </w:p>
  </w:footnote>
  <w:footnote w:type="continuationSeparator" w:id="0">
    <w:p w14:paraId="72BB6952" w14:textId="77777777" w:rsidR="00E53DA6" w:rsidRDefault="00E53DA6" w:rsidP="00E53DA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6D1F1" w14:textId="472109A1" w:rsidR="00E53DA6" w:rsidRDefault="00E53DA6" w:rsidP="00E53DA6">
    <w:pPr>
      <w:pStyle w:val="StandardWeb"/>
      <w:jc w:val="center"/>
    </w:pPr>
    <w:proofErr w:type="spellStart"/>
    <w:r>
      <w:rPr>
        <w:rFonts w:ascii="Tahoma" w:hAnsi="Tahoma" w:cs="Tahoma"/>
        <w:sz w:val="28"/>
        <w:szCs w:val="28"/>
      </w:rPr>
      <w:t>Françoise</w:t>
    </w:r>
    <w:proofErr w:type="spellEnd"/>
    <w:r>
      <w:rPr>
        <w:rFonts w:ascii="Tahoma" w:hAnsi="Tahoma" w:cs="Tahoma"/>
        <w:sz w:val="28"/>
        <w:szCs w:val="28"/>
      </w:rPr>
      <w:t xml:space="preserve"> </w:t>
    </w:r>
    <w:proofErr w:type="spellStart"/>
    <w:r>
      <w:rPr>
        <w:rFonts w:ascii="Tahoma" w:hAnsi="Tahoma" w:cs="Tahoma"/>
        <w:sz w:val="28"/>
        <w:szCs w:val="28"/>
      </w:rPr>
      <w:t>Heitsch</w:t>
    </w:r>
    <w:proofErr w:type="spellEnd"/>
    <w:r>
      <w:rPr>
        <w:rFonts w:ascii="Tahoma" w:hAnsi="Tahoma" w:cs="Tahoma"/>
        <w:sz w:val="28"/>
        <w:szCs w:val="28"/>
      </w:rPr>
      <w:t xml:space="preserve"> • </w:t>
    </w:r>
    <w:proofErr w:type="spellStart"/>
    <w:r>
      <w:rPr>
        <w:rFonts w:ascii="Tahoma" w:hAnsi="Tahoma" w:cs="Tahoma"/>
        <w:sz w:val="28"/>
        <w:szCs w:val="28"/>
      </w:rPr>
      <w:t>Amalienstr</w:t>
    </w:r>
    <w:proofErr w:type="spellEnd"/>
    <w:r>
      <w:rPr>
        <w:rFonts w:ascii="Tahoma" w:hAnsi="Tahoma" w:cs="Tahoma"/>
        <w:sz w:val="28"/>
        <w:szCs w:val="28"/>
      </w:rPr>
      <w:t xml:space="preserve">. 19 • 80333 </w:t>
    </w:r>
    <w:proofErr w:type="spellStart"/>
    <w:r>
      <w:rPr>
        <w:rFonts w:ascii="Tahoma" w:hAnsi="Tahoma" w:cs="Tahoma"/>
        <w:sz w:val="28"/>
        <w:szCs w:val="28"/>
      </w:rPr>
      <w:t>München</w:t>
    </w:r>
    <w:proofErr w:type="spellEnd"/>
  </w:p>
  <w:p w14:paraId="5CE24B6C" w14:textId="77777777" w:rsidR="00E53DA6" w:rsidRDefault="00E53DA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5A1"/>
    <w:rsid w:val="0000035F"/>
    <w:rsid w:val="00084BCD"/>
    <w:rsid w:val="0009166A"/>
    <w:rsid w:val="000E39F6"/>
    <w:rsid w:val="001E4448"/>
    <w:rsid w:val="00414501"/>
    <w:rsid w:val="00444D25"/>
    <w:rsid w:val="0045674C"/>
    <w:rsid w:val="00695CB9"/>
    <w:rsid w:val="008B05E3"/>
    <w:rsid w:val="009B65A1"/>
    <w:rsid w:val="00B032AD"/>
    <w:rsid w:val="00B04590"/>
    <w:rsid w:val="00B53790"/>
    <w:rsid w:val="00C12BB7"/>
    <w:rsid w:val="00C337B8"/>
    <w:rsid w:val="00DF4B06"/>
    <w:rsid w:val="00E53DA6"/>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E58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0" w:defSemiHidden="0" w:defUnhideWhenUsed="0" w:defQFormat="0" w:count="276">
    <w:lsdException w:name="Normal (Web)" w:uiPriority="99"/>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rsid w:val="00E53DA6"/>
    <w:rPr>
      <w:rFonts w:ascii="Lucida Grande" w:hAnsi="Lucida Grande"/>
      <w:sz w:val="18"/>
      <w:szCs w:val="18"/>
    </w:rPr>
  </w:style>
  <w:style w:type="character" w:customStyle="1" w:styleId="SprechblasentextZeichen">
    <w:name w:val="Sprechblasentext Zeichen"/>
    <w:basedOn w:val="Absatzstandardschriftart"/>
    <w:link w:val="Sprechblasentext"/>
    <w:rsid w:val="00E53DA6"/>
    <w:rPr>
      <w:rFonts w:ascii="Lucida Grande" w:hAnsi="Lucida Grande"/>
      <w:sz w:val="18"/>
      <w:szCs w:val="18"/>
    </w:rPr>
  </w:style>
  <w:style w:type="paragraph" w:styleId="Kopfzeile">
    <w:name w:val="header"/>
    <w:basedOn w:val="Standard"/>
    <w:link w:val="KopfzeileZeichen"/>
    <w:rsid w:val="00E53DA6"/>
    <w:pPr>
      <w:tabs>
        <w:tab w:val="center" w:pos="4536"/>
        <w:tab w:val="right" w:pos="9072"/>
      </w:tabs>
    </w:pPr>
  </w:style>
  <w:style w:type="character" w:customStyle="1" w:styleId="KopfzeileZeichen">
    <w:name w:val="Kopfzeile Zeichen"/>
    <w:basedOn w:val="Absatzstandardschriftart"/>
    <w:link w:val="Kopfzeile"/>
    <w:rsid w:val="00E53DA6"/>
  </w:style>
  <w:style w:type="paragraph" w:styleId="Fuzeile">
    <w:name w:val="footer"/>
    <w:basedOn w:val="Standard"/>
    <w:link w:val="FuzeileZeichen"/>
    <w:rsid w:val="00E53DA6"/>
    <w:pPr>
      <w:tabs>
        <w:tab w:val="center" w:pos="4536"/>
        <w:tab w:val="right" w:pos="9072"/>
      </w:tabs>
    </w:pPr>
  </w:style>
  <w:style w:type="character" w:customStyle="1" w:styleId="FuzeileZeichen">
    <w:name w:val="Fußzeile Zeichen"/>
    <w:basedOn w:val="Absatzstandardschriftart"/>
    <w:link w:val="Fuzeile"/>
    <w:rsid w:val="00E53DA6"/>
  </w:style>
  <w:style w:type="paragraph" w:styleId="StandardWeb">
    <w:name w:val="Normal (Web)"/>
    <w:basedOn w:val="Standard"/>
    <w:uiPriority w:val="99"/>
    <w:unhideWhenUsed/>
    <w:rsid w:val="00E53DA6"/>
    <w:pPr>
      <w:spacing w:before="100" w:beforeAutospacing="1" w:after="100" w:afterAutospacing="1"/>
    </w:pPr>
    <w:rPr>
      <w:rFonts w:ascii="Times" w:hAnsi="Times" w:cs="Times New Roman"/>
      <w:sz w:val="20"/>
      <w:szCs w:val="20"/>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0" w:defSemiHidden="0" w:defUnhideWhenUsed="0" w:defQFormat="0" w:count="276">
    <w:lsdException w:name="Normal (Web)" w:uiPriority="99"/>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rsid w:val="00E53DA6"/>
    <w:rPr>
      <w:rFonts w:ascii="Lucida Grande" w:hAnsi="Lucida Grande"/>
      <w:sz w:val="18"/>
      <w:szCs w:val="18"/>
    </w:rPr>
  </w:style>
  <w:style w:type="character" w:customStyle="1" w:styleId="SprechblasentextZeichen">
    <w:name w:val="Sprechblasentext Zeichen"/>
    <w:basedOn w:val="Absatzstandardschriftart"/>
    <w:link w:val="Sprechblasentext"/>
    <w:rsid w:val="00E53DA6"/>
    <w:rPr>
      <w:rFonts w:ascii="Lucida Grande" w:hAnsi="Lucida Grande"/>
      <w:sz w:val="18"/>
      <w:szCs w:val="18"/>
    </w:rPr>
  </w:style>
  <w:style w:type="paragraph" w:styleId="Kopfzeile">
    <w:name w:val="header"/>
    <w:basedOn w:val="Standard"/>
    <w:link w:val="KopfzeileZeichen"/>
    <w:rsid w:val="00E53DA6"/>
    <w:pPr>
      <w:tabs>
        <w:tab w:val="center" w:pos="4536"/>
        <w:tab w:val="right" w:pos="9072"/>
      </w:tabs>
    </w:pPr>
  </w:style>
  <w:style w:type="character" w:customStyle="1" w:styleId="KopfzeileZeichen">
    <w:name w:val="Kopfzeile Zeichen"/>
    <w:basedOn w:val="Absatzstandardschriftart"/>
    <w:link w:val="Kopfzeile"/>
    <w:rsid w:val="00E53DA6"/>
  </w:style>
  <w:style w:type="paragraph" w:styleId="Fuzeile">
    <w:name w:val="footer"/>
    <w:basedOn w:val="Standard"/>
    <w:link w:val="FuzeileZeichen"/>
    <w:rsid w:val="00E53DA6"/>
    <w:pPr>
      <w:tabs>
        <w:tab w:val="center" w:pos="4536"/>
        <w:tab w:val="right" w:pos="9072"/>
      </w:tabs>
    </w:pPr>
  </w:style>
  <w:style w:type="character" w:customStyle="1" w:styleId="FuzeileZeichen">
    <w:name w:val="Fußzeile Zeichen"/>
    <w:basedOn w:val="Absatzstandardschriftart"/>
    <w:link w:val="Fuzeile"/>
    <w:rsid w:val="00E53DA6"/>
  </w:style>
  <w:style w:type="paragraph" w:styleId="StandardWeb">
    <w:name w:val="Normal (Web)"/>
    <w:basedOn w:val="Standard"/>
    <w:uiPriority w:val="99"/>
    <w:unhideWhenUsed/>
    <w:rsid w:val="00E53DA6"/>
    <w:pPr>
      <w:spacing w:before="100" w:beforeAutospacing="1" w:after="100" w:afterAutospacing="1"/>
    </w:pPr>
    <w:rPr>
      <w:rFonts w:ascii="Times" w:hAnsi="Times"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432</Words>
  <Characters>2724</Characters>
  <Application>Microsoft Macintosh Word</Application>
  <DocSecurity>0</DocSecurity>
  <Lines>22</Lines>
  <Paragraphs>6</Paragraphs>
  <ScaleCrop>false</ScaleCrop>
  <Company>home</Company>
  <LinksUpToDate>false</LinksUpToDate>
  <CharactersWithSpaces>3150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pittroff</dc:creator>
  <cp:keywords/>
  <cp:lastModifiedBy>Simon Kirsch</cp:lastModifiedBy>
  <cp:revision>4</cp:revision>
  <cp:lastPrinted>2015-06-23T14:48:00Z</cp:lastPrinted>
  <dcterms:created xsi:type="dcterms:W3CDTF">2015-06-23T14:52:00Z</dcterms:created>
  <dcterms:modified xsi:type="dcterms:W3CDTF">2015-07-03T09:30:00Z</dcterms:modified>
</cp:coreProperties>
</file>